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0" distT="0" distL="0" distR="0">
            <wp:extent cx="905001" cy="990738"/>
            <wp:effectExtent b="0" l="0" r="0" t="0"/>
            <wp:docPr descr="A logo of a flower&#10;&#10;Description automatically generated with low confidence" id="1578865164" name="image2.png"/>
            <a:graphic>
              <a:graphicData uri="http://schemas.openxmlformats.org/drawingml/2006/picture">
                <pic:pic>
                  <pic:nvPicPr>
                    <pic:cNvPr descr="A logo of a flower&#10;&#10;Description automatically generated with low confidence" id="0" name="image2.png"/>
                    <pic:cNvPicPr preferRelativeResize="0"/>
                  </pic:nvPicPr>
                  <pic:blipFill>
                    <a:blip r:embed="rId7"/>
                    <a:srcRect b="0" l="0" r="0" t="0"/>
                    <a:stretch>
                      <a:fillRect/>
                    </a:stretch>
                  </pic:blipFill>
                  <pic:spPr>
                    <a:xfrm>
                      <a:off x="0" y="0"/>
                      <a:ext cx="905001" cy="99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ENGLAND DEAF GOLF</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Development and Grassroots Committee</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Terms of Reference</w:t>
      </w:r>
    </w:p>
    <w:tbl>
      <w:tblPr>
        <w:tblStyle w:val="Table1"/>
        <w:tblW w:w="96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5"/>
        <w:gridCol w:w="2268"/>
        <w:gridCol w:w="2835"/>
        <w:gridCol w:w="2114"/>
        <w:tblGridChange w:id="0">
          <w:tblGrid>
            <w:gridCol w:w="2405"/>
            <w:gridCol w:w="2268"/>
            <w:gridCol w:w="2835"/>
            <w:gridCol w:w="2114"/>
          </w:tblGrid>
        </w:tblGridChange>
      </w:tblGrid>
      <w:tr>
        <w:trPr>
          <w:cantSplit w:val="0"/>
          <w:tblHeader w:val="0"/>
        </w:trPr>
        <w:tc>
          <w:tcPr>
            <w:shd w:fill="d0cece" w:val="clear"/>
          </w:tcPr>
          <w:p w:rsidR="00000000" w:rsidDel="00000000" w:rsidP="00000000" w:rsidRDefault="00000000" w:rsidRPr="00000000" w14:paraId="00000005">
            <w:pPr>
              <w:rPr>
                <w:b w:val="1"/>
              </w:rPr>
            </w:pPr>
            <w:bookmarkStart w:colFirst="0" w:colLast="0" w:name="_heading=h.gjdgxs" w:id="0"/>
            <w:bookmarkEnd w:id="0"/>
            <w:r w:rsidDel="00000000" w:rsidR="00000000" w:rsidRPr="00000000">
              <w:rPr>
                <w:b w:val="1"/>
                <w:rtl w:val="0"/>
              </w:rPr>
              <w:t xml:space="preserve">Policy Number:</w:t>
            </w:r>
          </w:p>
        </w:tc>
        <w:tc>
          <w:tcPr>
            <w:shd w:fill="d0cece" w:val="clear"/>
          </w:tcPr>
          <w:p w:rsidR="00000000" w:rsidDel="00000000" w:rsidP="00000000" w:rsidRDefault="00000000" w:rsidRPr="00000000" w14:paraId="00000006">
            <w:pPr>
              <w:rPr/>
            </w:pPr>
            <w:r w:rsidDel="00000000" w:rsidR="00000000" w:rsidRPr="00000000">
              <w:rPr>
                <w:rtl w:val="0"/>
              </w:rPr>
              <w:t xml:space="preserve">DG.0001</w:t>
            </w:r>
          </w:p>
        </w:tc>
        <w:tc>
          <w:tcPr>
            <w:shd w:fill="d0cece" w:val="clear"/>
          </w:tcPr>
          <w:p w:rsidR="00000000" w:rsidDel="00000000" w:rsidP="00000000" w:rsidRDefault="00000000" w:rsidRPr="00000000" w14:paraId="00000007">
            <w:pPr>
              <w:rPr>
                <w:b w:val="1"/>
              </w:rPr>
            </w:pPr>
            <w:r w:rsidDel="00000000" w:rsidR="00000000" w:rsidRPr="00000000">
              <w:rPr>
                <w:b w:val="1"/>
                <w:rtl w:val="0"/>
              </w:rPr>
              <w:t xml:space="preserve">Version:</w:t>
            </w:r>
          </w:p>
        </w:tc>
        <w:tc>
          <w:tcPr>
            <w:shd w:fill="d0cece" w:val="clear"/>
          </w:tcPr>
          <w:p w:rsidR="00000000" w:rsidDel="00000000" w:rsidP="00000000" w:rsidRDefault="00000000" w:rsidRPr="00000000" w14:paraId="00000008">
            <w:pPr>
              <w:rPr/>
            </w:pPr>
            <w:r w:rsidDel="00000000" w:rsidR="00000000" w:rsidRPr="00000000">
              <w:rPr>
                <w:rtl w:val="0"/>
              </w:rPr>
              <w:t xml:space="preserve">1.0</w:t>
            </w:r>
          </w:p>
        </w:tc>
      </w:tr>
      <w:tr>
        <w:trPr>
          <w:cantSplit w:val="0"/>
          <w:tblHeader w:val="0"/>
        </w:trPr>
        <w:tc>
          <w:tcPr>
            <w:shd w:fill="d0cece" w:val="clear"/>
          </w:tcPr>
          <w:p w:rsidR="00000000" w:rsidDel="00000000" w:rsidP="00000000" w:rsidRDefault="00000000" w:rsidRPr="00000000" w14:paraId="00000009">
            <w:pPr>
              <w:rPr>
                <w:b w:val="1"/>
              </w:rPr>
            </w:pPr>
            <w:r w:rsidDel="00000000" w:rsidR="00000000" w:rsidRPr="00000000">
              <w:rPr>
                <w:b w:val="1"/>
                <w:rtl w:val="0"/>
              </w:rPr>
              <w:t xml:space="preserve">Drafted by:</w:t>
            </w:r>
          </w:p>
        </w:tc>
        <w:tc>
          <w:tcPr>
            <w:shd w:fill="d0cece" w:val="clear"/>
          </w:tcPr>
          <w:p w:rsidR="00000000" w:rsidDel="00000000" w:rsidP="00000000" w:rsidRDefault="00000000" w:rsidRPr="00000000" w14:paraId="0000000A">
            <w:pPr>
              <w:rPr/>
            </w:pPr>
            <w:r w:rsidDel="00000000" w:rsidR="00000000" w:rsidRPr="00000000">
              <w:rPr>
                <w:rtl w:val="0"/>
              </w:rPr>
              <w:t xml:space="preserve">Stuart Harrison</w:t>
            </w:r>
          </w:p>
        </w:tc>
        <w:tc>
          <w:tcPr>
            <w:shd w:fill="d0cece" w:val="clear"/>
          </w:tcPr>
          <w:p w:rsidR="00000000" w:rsidDel="00000000" w:rsidP="00000000" w:rsidRDefault="00000000" w:rsidRPr="00000000" w14:paraId="0000000B">
            <w:pPr>
              <w:rPr>
                <w:b w:val="1"/>
              </w:rPr>
            </w:pPr>
            <w:r w:rsidDel="00000000" w:rsidR="00000000" w:rsidRPr="00000000">
              <w:rPr>
                <w:b w:val="1"/>
                <w:rtl w:val="0"/>
              </w:rPr>
              <w:t xml:space="preserve">Approved by the Board on:</w:t>
            </w:r>
          </w:p>
        </w:tc>
        <w:tc>
          <w:tcPr>
            <w:shd w:fill="d0cece" w:val="clear"/>
          </w:tcPr>
          <w:p w:rsidR="00000000" w:rsidDel="00000000" w:rsidP="00000000" w:rsidRDefault="00000000" w:rsidRPr="00000000" w14:paraId="0000000C">
            <w:pPr>
              <w:rPr/>
            </w:pPr>
            <w:r w:rsidDel="00000000" w:rsidR="00000000" w:rsidRPr="00000000">
              <w:rPr>
                <w:highlight w:val="yellow"/>
                <w:rtl w:val="0"/>
              </w:rPr>
              <w:t xml:space="preserve">tbc</w:t>
            </w: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0D">
            <w:pPr>
              <w:rPr>
                <w:b w:val="1"/>
              </w:rPr>
            </w:pPr>
            <w:r w:rsidDel="00000000" w:rsidR="00000000" w:rsidRPr="00000000">
              <w:rPr>
                <w:b w:val="1"/>
                <w:rtl w:val="0"/>
              </w:rPr>
              <w:t xml:space="preserve">Responsible person:</w:t>
            </w:r>
          </w:p>
        </w:tc>
        <w:tc>
          <w:tcPr>
            <w:shd w:fill="d0cece" w:val="clear"/>
          </w:tcPr>
          <w:p w:rsidR="00000000" w:rsidDel="00000000" w:rsidP="00000000" w:rsidRDefault="00000000" w:rsidRPr="00000000" w14:paraId="0000000E">
            <w:pPr>
              <w:rPr/>
            </w:pPr>
            <w:r w:rsidDel="00000000" w:rsidR="00000000" w:rsidRPr="00000000">
              <w:rPr>
                <w:rtl w:val="0"/>
              </w:rPr>
              <w:t xml:space="preserve">Russel Fowler</w:t>
            </w:r>
          </w:p>
        </w:tc>
        <w:tc>
          <w:tcPr>
            <w:shd w:fill="d0cece" w:val="clear"/>
          </w:tcPr>
          <w:p w:rsidR="00000000" w:rsidDel="00000000" w:rsidP="00000000" w:rsidRDefault="00000000" w:rsidRPr="00000000" w14:paraId="0000000F">
            <w:pPr>
              <w:rPr>
                <w:b w:val="1"/>
              </w:rPr>
            </w:pPr>
            <w:r w:rsidDel="00000000" w:rsidR="00000000" w:rsidRPr="00000000">
              <w:rPr>
                <w:b w:val="1"/>
                <w:rtl w:val="0"/>
              </w:rPr>
              <w:t xml:space="preserve">Scheduled Review date:</w:t>
            </w:r>
          </w:p>
        </w:tc>
        <w:tc>
          <w:tcPr>
            <w:shd w:fill="d0cece" w:val="clear"/>
          </w:tcPr>
          <w:p w:rsidR="00000000" w:rsidDel="00000000" w:rsidP="00000000" w:rsidRDefault="00000000" w:rsidRPr="00000000" w14:paraId="00000010">
            <w:pPr>
              <w:rPr/>
            </w:pPr>
            <w:r w:rsidDel="00000000" w:rsidR="00000000" w:rsidRPr="00000000">
              <w:rPr>
                <w:rtl w:val="0"/>
              </w:rPr>
              <w:t xml:space="preserve">31-7-2024</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Development &amp; Grassroots Committee is a Sub Committee of the England Deaf Golf (EDG) Board. The purpose of the Development &amp; Grassroots Committee is 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 initiatives aimed at increasing growth within the sport across coaching, officiating and athlete participation;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create strategies to support club development initiatives to encourage the growth of the sport;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 opportunities within the golf system to enhance existing programs and create new initiatives;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target funding opportunities to support the delivery of Deaf golf programs.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AUTHORITY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Development &amp; Grassroots Committee is a management Committee and its members will report directly to the Chair who will then report to the EDG Board at their meetings and in between.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Development &amp; Grassroots Committee is not a policy-making body, but assists EDG Board to achieve best practice and ongoing improvement. Recommendations will be presented to the EDG Board who have the ultimate responsibility for ratification before implementation.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Development &amp; Grassroots Committee assists with policy review however, the ultimate responsibility lies with the EDG Board.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APPOINTMENT OF THE COMMITTEE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Development &amp; Grassroots Committee shall be appointed by the EDG Board after calls for expressions of interest. If insufficient expressions of interest are received, the EDG Board may appoint suitably qualified members to fill the vacancies.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Appointed members will be offered one-year terms, and the Board will appoint individuals to the sub-committee to fill casual vacancies as appropriate.</w:t>
        <w:br w:type="textWrapping"/>
        <w:t xml:space="preserve">The Chair of the Development &amp; Grassroots may also seek approval from the EDG Board to appoint individuals onto the sub-committee.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MEMBERSHIP</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membership of the Development &amp; Grassroots Committee will consist of:</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EDG Project Leader.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Two persons from the EDG membership with high-performance coaching and/or sport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Development </w:t>
      </w:r>
      <w:r w:rsidDel="00000000" w:rsidR="00000000" w:rsidRPr="00000000">
        <w:rPr>
          <w:rtl w:val="0"/>
        </w:rPr>
        <w:t xml:space="preserve">experience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Up to, two persons from Deaf golf societies with experience in coaching and/or sport development.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may appoint, remove, or replace the members of the Committee.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CHAIR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Chairman of the Development &amp; Grassroots Committee will be the EDG Project Leader who will also a member of the EDG Board.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MEETINGS AND QUORUM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Development &amp; Grassroots Committee will meet when necessary and committee members will be expected to attend in person unless prior arrangements have been made for teleconferencing. The meetings will be held online or at a mutually agreed venue.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 will be responsible for calling meetings, coordinating logistics, establishing the agenda, and distributing relevant documents for consideration by the Committee.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 will be responsible for establishing the specific focus area for the Committee for each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in order to assist with targeted operational requirements of the business.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quorum will be three members of the Committee.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FUNCTION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role of the Development &amp; Grassroots Committee is to facilitate the development of all EDG members; athletes, coaches and officials along the respective pathways.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responsibilities of the Development &amp; Grassroots Committee are to: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Assist the Board to ensure that EDG programs meet the goals, objectives and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commitments of agreements with external stakeholders (e.g. England Golf, UK Deaf Sport, Deaf golf societies)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Oversee the development and ongoing training and education of coaches along a coaches pathway.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Oversee the development and ongoing training of officials along an officials pathway.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Oversee volunteer training.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Develop initiatives in working with alternative sports and venues to increase opportunities for new participants to engage with the sport.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Investigate and develop strategies and initiatives aimed at increasing Deaf golf in grassroots participation programs, including school programs, holiday programs, come-and-try days etc.</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Investigate, implement and develop strategies and initiatives aimed at increasing regional Deaf golf societies and program development.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 training opportunities for society administrators and coaches.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course of participation in Development &amp; Grassroots Committee activities, members may receive information that is both confidential and/or sensitive in nature. Committee members are required to maintain the confidentiality of such information at all times and comply with the EDG Code of Conduct.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AUTHORISATION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Signature of EDG Board Chair: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09681" cy="467028"/>
            <wp:effectExtent b="0" l="0" r="0" t="0"/>
            <wp:docPr descr="A picture containing sketch, drawing, line art, linedrawing&#10;&#10;Description automatically generated" id="1578865165" name="image1.jpg"/>
            <a:graphic>
              <a:graphicData uri="http://schemas.openxmlformats.org/drawingml/2006/picture">
                <pic:pic>
                  <pic:nvPicPr>
                    <pic:cNvPr descr="A picture containing sketch, drawing, line art, linedrawing&#10;&#10;Description automatically generated" id="0" name="image1.jpg"/>
                    <pic:cNvPicPr preferRelativeResize="0"/>
                  </pic:nvPicPr>
                  <pic:blipFill>
                    <a:blip r:embed="rId8"/>
                    <a:srcRect b="0" l="0" r="0" t="0"/>
                    <a:stretch>
                      <a:fillRect/>
                    </a:stretch>
                  </pic:blipFill>
                  <pic:spPr>
                    <a:xfrm>
                      <a:off x="0" y="0"/>
                      <a:ext cx="1209681" cy="467028"/>
                    </a:xfrm>
                    <a:prstGeom prst="rect"/>
                    <a:ln/>
                  </pic:spPr>
                </pic:pic>
              </a:graphicData>
            </a:graphic>
          </wp:inline>
        </w:drawing>
      </w:r>
      <w:r w:rsidDel="00000000" w:rsidR="00000000" w:rsidRPr="00000000">
        <w:rPr>
          <w:rtl w:val="0"/>
        </w:rPr>
      </w:r>
    </w:p>
    <w:sectPr>
      <w:pgSz w:h="16840" w:w="11900" w:orient="portrait"/>
      <w:pgMar w:bottom="1134" w:top="1134" w:left="1134" w:right="1134"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07804"/>
    <w:pPr>
      <w:ind w:left="720"/>
      <w:contextualSpacing w:val="1"/>
    </w:pPr>
  </w:style>
  <w:style w:type="table" w:styleId="TableGrid">
    <w:name w:val="Table Grid"/>
    <w:basedOn w:val="TableNormal"/>
    <w:uiPriority w:val="39"/>
    <w:rsid w:val="00C078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RXNxtt3D9eq9/UUbXqDCJge7g==">CgMxLjAyCGguZ2pkZ3hzOAByITE3U2xOV1Z3RkNzb3Q1blN3eXZrNzlNSVh0WDhlT1dYZg==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2023-07-03T14:36:00Z</dcterms:created>
  <dc:creator>Stuart Harrison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7211ecf2-eaa8-4963-bce9-112a696825fa</vt:lpwstr>
  </property>
</Properties>
</file>